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ФЕДЕРАЛЬНАЯ АНТИМОНОПОЛЬНАЯ СЛУЖБА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№</w:t>
      </w:r>
      <w:r w:rsidRPr="00450757">
        <w:rPr>
          <w:color w:val="000000" w:themeColor="text1"/>
        </w:rPr>
        <w:t xml:space="preserve"> ИА/48336/18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ФЕДЕРАЛЬНАЯ СЛУЖБА ВОЙСК НАЦИОНАЛЬНОЙ ГВАРДИИ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РОССИЙСКОЙ ФЕДЕРАЦИИ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№</w:t>
      </w:r>
      <w:r w:rsidRPr="00450757">
        <w:rPr>
          <w:color w:val="000000" w:themeColor="text1"/>
        </w:rPr>
        <w:t xml:space="preserve"> 1/5277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ПИСЬМО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от 27 июня 2018 года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О ПОЗИЦИИ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ФАС РОССИИ И РОСГВАРДИИ ПО ВОПРОСУ ЗАКЛЮЧЕНИЯ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ГОСУДАРСТВЕННЫХ КОНТРАКТОВ НА ОКАЗАНИЕ УСЛУГ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ПО ОХРАНЕ ОБЪЕКТОВ, НА КОТОРЫЕ ЧАСТНАЯ ОХРАННАЯ</w:t>
      </w:r>
    </w:p>
    <w:p w:rsidR="007F5869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ДЕЯТЕЛЬНОСТЬ НЕ РАСПРОСТРАНЯЕТСЯ</w:t>
      </w:r>
    </w:p>
    <w:p w:rsidR="007F5869" w:rsidRPr="00450757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proofErr w:type="gramStart"/>
      <w:r w:rsidRPr="00450757">
        <w:rPr>
          <w:color w:val="000000" w:themeColor="text1"/>
        </w:rPr>
        <w:t xml:space="preserve">В связи с поступающими вопросами о применении положений Федерального закона от 5 апреля 2013 г. N </w:t>
      </w:r>
      <w:hyperlink r:id="rId5" w:history="1">
        <w:r w:rsidRPr="00450757">
          <w:rPr>
            <w:rStyle w:val="a3"/>
            <w:color w:val="000000" w:themeColor="text1"/>
          </w:rPr>
          <w:t>44-ФЗ</w:t>
        </w:r>
      </w:hyperlink>
      <w:r w:rsidRPr="00450757">
        <w:rPr>
          <w:color w:val="000000" w:themeColor="text1"/>
        </w:rPr>
        <w:t xml:space="preserve"> "О контрактной системе в сфере закупок товаров, работ, услуг для государственных и муниципальных нужд" (далее - Закон о контрактной системе) при заключении государственных и муниципальных контрактов на оказание услуг по охране объектов, на которые частная охранная деятельность не распространяется, ФАС России и </w:t>
      </w:r>
      <w:proofErr w:type="spellStart"/>
      <w:r w:rsidRPr="00450757">
        <w:rPr>
          <w:color w:val="000000" w:themeColor="text1"/>
        </w:rPr>
        <w:t>Росгвардия</w:t>
      </w:r>
      <w:proofErr w:type="spellEnd"/>
      <w:r w:rsidRPr="00450757">
        <w:rPr>
          <w:color w:val="000000" w:themeColor="text1"/>
        </w:rPr>
        <w:t xml:space="preserve"> сообщают.</w:t>
      </w:r>
      <w:proofErr w:type="gramEnd"/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 xml:space="preserve">Постановлением Правительства Российской Федерации от 14 августа 1992 г. N </w:t>
      </w:r>
      <w:hyperlink r:id="rId6" w:history="1">
        <w:r w:rsidRPr="00450757">
          <w:rPr>
            <w:rStyle w:val="a3"/>
            <w:color w:val="000000" w:themeColor="text1"/>
          </w:rPr>
          <w:t>587</w:t>
        </w:r>
      </w:hyperlink>
      <w:r w:rsidRPr="00450757">
        <w:rPr>
          <w:color w:val="000000" w:themeColor="text1"/>
        </w:rPr>
        <w:t xml:space="preserve"> "Вопросы частной детективной (сыскной) и частной охранной деятельности" (далее - Постановление N 587) утвержден перечень объектов, на которые частная охранная деятельность не распространяется.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proofErr w:type="gramStart"/>
      <w:r w:rsidRPr="00450757">
        <w:rPr>
          <w:color w:val="000000" w:themeColor="text1"/>
        </w:rPr>
        <w:t>Таким образом, в случае осуществления отбора исполнителя по контракту на оказание услуг охраны здания, включенного в перечень объектов, на которые частная охранная деятельность не распространяется, с применением способов закупки, указанных в Законе о контрактной системе, участником закупки не может быть, а, следовательно, контракт не может быть заключен с лицом, осуществляющим частную охранную деятельность.</w:t>
      </w:r>
      <w:proofErr w:type="gramEnd"/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При этом</w:t>
      </w:r>
      <w:proofErr w:type="gramStart"/>
      <w:r w:rsidRPr="00450757">
        <w:rPr>
          <w:color w:val="000000" w:themeColor="text1"/>
        </w:rPr>
        <w:t>,</w:t>
      </w:r>
      <w:proofErr w:type="gramEnd"/>
      <w:r w:rsidRPr="00450757">
        <w:rPr>
          <w:color w:val="000000" w:themeColor="text1"/>
        </w:rPr>
        <w:t xml:space="preserve"> с учетом положений пункта 1 части 1 статьи 31 Закона о контрактной системе при проведении отбора исполнителя по контракту на оказание услуг охраны здания, включенного в перечень, утвержденный Постановлением N 587, в документации о закупке необходимо установить требование к участникам закупки, в соответствии с которым участник закупки не может являться лицом, осуществляющим частную охранную деятельность.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 xml:space="preserve">Необходимо также принимать во внимание, что согласно положениям статьи 1 Федерального закона от 14 апреля 1999 г. N </w:t>
      </w:r>
      <w:hyperlink r:id="rId7" w:history="1">
        <w:r w:rsidRPr="00450757">
          <w:rPr>
            <w:rStyle w:val="a3"/>
            <w:color w:val="000000" w:themeColor="text1"/>
          </w:rPr>
          <w:t>77-ФЗ</w:t>
        </w:r>
      </w:hyperlink>
      <w:r w:rsidRPr="00450757">
        <w:rPr>
          <w:color w:val="000000" w:themeColor="text1"/>
        </w:rPr>
        <w:t xml:space="preserve"> "О ведомственной охране" (далее - Закон о ведомственной охране) ведомственная охрана - совокупность создаваемых имеющими право на создание ведомственной охраны федеральными государственными органами и организациями органов управления, сил и средств, предназначенных для защиты охраняемых объектов от противоправных посягательств. К охраняемым ведомственной охраной объектам относятся здания, строения, сооружения, прилегающие к ним территории и акватории, транспортные средства, а также грузы, в том числе при их транспортировке, денежные средства и иное имущество, подлежащие защите от противоправных посягательств.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lastRenderedPageBreak/>
        <w:t xml:space="preserve">В соответствии со статьей 8 Закона о ведомственной охране ведомственная охрана </w:t>
      </w:r>
      <w:proofErr w:type="gramStart"/>
      <w:r w:rsidRPr="00450757">
        <w:rPr>
          <w:color w:val="000000" w:themeColor="text1"/>
        </w:rPr>
        <w:t>осуществляет</w:t>
      </w:r>
      <w:proofErr w:type="gramEnd"/>
      <w:r w:rsidRPr="00450757">
        <w:rPr>
          <w:color w:val="000000" w:themeColor="text1"/>
        </w:rPr>
        <w:t xml:space="preserve"> в том числе защиту охраняемых объектов, являющихся государственной собственностью и (или) находящихся в сфере ведения соответствующих федеральных государственных органов.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Статьей 8 Закона о ведомственной охране предусмотрено определение специального перечня охраняемых объектов, в отношении которых может осуществлять защиту ведомственная охрана.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Такой перечень обеспечивает принцип ведомственной принадлежности охраняемых объектов, определяется имеющими право на создание ведомственной охраны федеральными государственными органами и организациями и должен быть утвержден в порядке, установленном Правительством Российской Федерации.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При этом правительственными нормативными актами, утверждающими соответствующие положения о ведомственной охране, в отношении подразделений ведомственной охраны установлены ограничения на осуществление охранной деятельности только в отношении объектов, являющихся государственной собственностью и находящихся в сфере ведения соответствующих федеральных государственных органов.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proofErr w:type="gramStart"/>
      <w:r w:rsidRPr="00450757">
        <w:rPr>
          <w:color w:val="000000" w:themeColor="text1"/>
        </w:rPr>
        <w:t xml:space="preserve">Исключение из принципа ведомственной принадлежности охраняемых объектов предусмотрено специальной нормой части 2 статьи 26 Закона о ведомственной охране, в соответствии с которой военизированным и сторожевым подразделениям организаций, подведомственных </w:t>
      </w:r>
      <w:proofErr w:type="spellStart"/>
      <w:r w:rsidRPr="00450757">
        <w:rPr>
          <w:color w:val="000000" w:themeColor="text1"/>
        </w:rPr>
        <w:t>Росгвардии</w:t>
      </w:r>
      <w:proofErr w:type="spellEnd"/>
      <w:r w:rsidRPr="00450757">
        <w:rPr>
          <w:color w:val="000000" w:themeColor="text1"/>
        </w:rPr>
        <w:t>, а также ведомственной охране федеральных органов исполнительной власти на период до создания федеральными государственными органами (Судебный департамент при Верховном Суде Российской Федерации, Генеральная прокуратура Российской Федерации, Следственный комитет Российской Федерации) собственной</w:t>
      </w:r>
      <w:proofErr w:type="gramEnd"/>
      <w:r w:rsidRPr="00450757">
        <w:rPr>
          <w:color w:val="000000" w:themeColor="text1"/>
        </w:rPr>
        <w:t xml:space="preserve"> ведомственной охраны предоставлено право </w:t>
      </w:r>
      <w:proofErr w:type="gramStart"/>
      <w:r w:rsidRPr="00450757">
        <w:rPr>
          <w:color w:val="000000" w:themeColor="text1"/>
        </w:rPr>
        <w:t>охранять</w:t>
      </w:r>
      <w:proofErr w:type="gramEnd"/>
      <w:r w:rsidRPr="00450757">
        <w:rPr>
          <w:color w:val="000000" w:themeColor="text1"/>
        </w:rPr>
        <w:t xml:space="preserve"> закрепленные за ними объекты недвижимого имущества. Перечень таких объектов утвержден распоряжением Правительства Российской Федерации от 10 февраля 2017 г. N </w:t>
      </w:r>
      <w:hyperlink r:id="rId8" w:history="1">
        <w:r w:rsidRPr="00450757">
          <w:rPr>
            <w:rStyle w:val="a3"/>
            <w:color w:val="000000" w:themeColor="text1"/>
          </w:rPr>
          <w:t>239-р</w:t>
        </w:r>
      </w:hyperlink>
      <w:r w:rsidRPr="00450757">
        <w:rPr>
          <w:color w:val="000000" w:themeColor="text1"/>
        </w:rPr>
        <w:t>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Таким образом, при рассмотрении заявок участников закупки и принятии решения об их допуске (отклонении) к участию в торгах на оказание услуг охраны здания, включенного в перечень, утвержденный Постановлением N 587, необходимо также принимать во внимание вышеизложенные положения нормативных правовых актов, регулирующих деятельность ведомственной охраны.</w:t>
      </w:r>
    </w:p>
    <w:p w:rsidR="007F5869" w:rsidRPr="00450757" w:rsidRDefault="007F5869" w:rsidP="007F5869">
      <w:pPr>
        <w:pStyle w:val="pj"/>
        <w:shd w:val="clear" w:color="auto" w:fill="FFFFFF"/>
        <w:spacing w:before="0" w:beforeAutospacing="0" w:after="0" w:afterAutospacing="0" w:line="276" w:lineRule="auto"/>
        <w:ind w:firstLine="993"/>
        <w:rPr>
          <w:color w:val="000000" w:themeColor="text1"/>
        </w:rPr>
      </w:pPr>
      <w:r w:rsidRPr="00450757">
        <w:rPr>
          <w:color w:val="000000" w:themeColor="text1"/>
        </w:rPr>
        <w:t>Настоящее письмо не является правовым актом и носит информационный характер.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Руководитель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Федеральной антимонопольной службы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И.Ю.АРТЕМЬЕВ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Директор Федеральной службы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войск национальной гвардии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Российской Федерации -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главнокомандующий войсками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национальной гвардии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Российской Федерации</w:t>
      </w:r>
    </w:p>
    <w:p w:rsidR="007F5869" w:rsidRPr="00450757" w:rsidRDefault="007F5869" w:rsidP="007F5869">
      <w:pPr>
        <w:pStyle w:val="pr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0757">
        <w:rPr>
          <w:color w:val="000000" w:themeColor="text1"/>
        </w:rPr>
        <w:t>В.В.ЗОЛОТОВ</w:t>
      </w:r>
    </w:p>
    <w:p w:rsidR="007F5869" w:rsidRPr="005B0B11" w:rsidRDefault="007F5869" w:rsidP="007F58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869" w:rsidRPr="005B0B11" w:rsidSect="0004145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4"/>
    <w:multiLevelType w:val="multilevel"/>
    <w:tmpl w:val="67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B74A3"/>
    <w:multiLevelType w:val="multilevel"/>
    <w:tmpl w:val="E2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60"/>
    <w:rsid w:val="00000213"/>
    <w:rsid w:val="000276E2"/>
    <w:rsid w:val="0004145A"/>
    <w:rsid w:val="00053AF1"/>
    <w:rsid w:val="0011117D"/>
    <w:rsid w:val="001349F0"/>
    <w:rsid w:val="00171232"/>
    <w:rsid w:val="00180E48"/>
    <w:rsid w:val="00187D1D"/>
    <w:rsid w:val="001A673F"/>
    <w:rsid w:val="001B4DD8"/>
    <w:rsid w:val="002428DC"/>
    <w:rsid w:val="00275985"/>
    <w:rsid w:val="00290400"/>
    <w:rsid w:val="0030299B"/>
    <w:rsid w:val="003252F8"/>
    <w:rsid w:val="003522BF"/>
    <w:rsid w:val="00361B00"/>
    <w:rsid w:val="0037439C"/>
    <w:rsid w:val="0038524B"/>
    <w:rsid w:val="00387AA6"/>
    <w:rsid w:val="003A76ED"/>
    <w:rsid w:val="003D612E"/>
    <w:rsid w:val="003E7C5C"/>
    <w:rsid w:val="00466B80"/>
    <w:rsid w:val="004C164F"/>
    <w:rsid w:val="004F3C68"/>
    <w:rsid w:val="004F6260"/>
    <w:rsid w:val="005161AF"/>
    <w:rsid w:val="005257CF"/>
    <w:rsid w:val="0053693E"/>
    <w:rsid w:val="005435CC"/>
    <w:rsid w:val="0054563A"/>
    <w:rsid w:val="00594745"/>
    <w:rsid w:val="005B0FE6"/>
    <w:rsid w:val="005E25EB"/>
    <w:rsid w:val="005F407E"/>
    <w:rsid w:val="00605359"/>
    <w:rsid w:val="00625692"/>
    <w:rsid w:val="00667A06"/>
    <w:rsid w:val="006831E1"/>
    <w:rsid w:val="006C6B24"/>
    <w:rsid w:val="006E558F"/>
    <w:rsid w:val="00722FFC"/>
    <w:rsid w:val="0073420A"/>
    <w:rsid w:val="00751590"/>
    <w:rsid w:val="007736DA"/>
    <w:rsid w:val="007C60CE"/>
    <w:rsid w:val="007D0A7E"/>
    <w:rsid w:val="007D45D0"/>
    <w:rsid w:val="007F2261"/>
    <w:rsid w:val="007F5869"/>
    <w:rsid w:val="00834F99"/>
    <w:rsid w:val="00877AD0"/>
    <w:rsid w:val="008A5528"/>
    <w:rsid w:val="008B75A5"/>
    <w:rsid w:val="008C5880"/>
    <w:rsid w:val="008F2F63"/>
    <w:rsid w:val="00903E23"/>
    <w:rsid w:val="00914707"/>
    <w:rsid w:val="00915014"/>
    <w:rsid w:val="009502FC"/>
    <w:rsid w:val="00952D69"/>
    <w:rsid w:val="00954D0A"/>
    <w:rsid w:val="0099049E"/>
    <w:rsid w:val="009C35B6"/>
    <w:rsid w:val="009E3698"/>
    <w:rsid w:val="00A52F83"/>
    <w:rsid w:val="00A82DA5"/>
    <w:rsid w:val="00AB2F70"/>
    <w:rsid w:val="00AD1575"/>
    <w:rsid w:val="00AE7CA1"/>
    <w:rsid w:val="00AF41C1"/>
    <w:rsid w:val="00B03C64"/>
    <w:rsid w:val="00B34360"/>
    <w:rsid w:val="00B374F3"/>
    <w:rsid w:val="00B601A1"/>
    <w:rsid w:val="00B778E8"/>
    <w:rsid w:val="00BB5767"/>
    <w:rsid w:val="00BB7897"/>
    <w:rsid w:val="00BE6217"/>
    <w:rsid w:val="00C65CA7"/>
    <w:rsid w:val="00CB38FF"/>
    <w:rsid w:val="00CF43EB"/>
    <w:rsid w:val="00D35FEB"/>
    <w:rsid w:val="00D91468"/>
    <w:rsid w:val="00D916F1"/>
    <w:rsid w:val="00DB2CBC"/>
    <w:rsid w:val="00DD3F5A"/>
    <w:rsid w:val="00E60199"/>
    <w:rsid w:val="00E6236C"/>
    <w:rsid w:val="00E9229C"/>
    <w:rsid w:val="00F10AA9"/>
    <w:rsid w:val="00F5246B"/>
    <w:rsid w:val="00F71461"/>
    <w:rsid w:val="00F75598"/>
    <w:rsid w:val="00F92FA2"/>
    <w:rsid w:val="00FA6A61"/>
    <w:rsid w:val="00FC6F4B"/>
    <w:rsid w:val="00FD0809"/>
    <w:rsid w:val="00F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7"/>
  </w:style>
  <w:style w:type="paragraph" w:styleId="1">
    <w:name w:val="heading 1"/>
    <w:basedOn w:val="a"/>
    <w:link w:val="10"/>
    <w:uiPriority w:val="9"/>
    <w:qFormat/>
    <w:rsid w:val="0099049E"/>
    <w:pPr>
      <w:spacing w:after="240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17"/>
    <w:rPr>
      <w:strike w:val="0"/>
      <w:dstrike w:val="0"/>
      <w:color w:val="273E6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4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49E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F3C68"/>
    <w:rPr>
      <w:b/>
      <w:bCs/>
    </w:rPr>
  </w:style>
  <w:style w:type="paragraph" w:styleId="a8">
    <w:name w:val="Normal (Web)"/>
    <w:basedOn w:val="a"/>
    <w:uiPriority w:val="99"/>
    <w:semiHidden/>
    <w:unhideWhenUsed/>
    <w:rsid w:val="004F3C6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date2">
    <w:name w:val="meta-date2"/>
    <w:basedOn w:val="a0"/>
    <w:rsid w:val="004F3C68"/>
  </w:style>
  <w:style w:type="paragraph" w:customStyle="1" w:styleId="pr">
    <w:name w:val="pr"/>
    <w:basedOn w:val="a"/>
    <w:rsid w:val="007F58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F58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7F58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1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8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overment/Rasporyazhenie-Pravitelstva-RF-ot-10.02.2017-N-239-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14.04.1999-N-77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14.08.1992-N-587/" TargetMode="External"/><Relationship Id="rId5" Type="http://schemas.openxmlformats.org/officeDocument/2006/relationships/hyperlink" Target="http://rulaws.ru/laws/Federalnyy-zakon-ot-05.04.2013-N-44-F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IKravets</cp:lastModifiedBy>
  <cp:revision>3</cp:revision>
  <cp:lastPrinted>2016-08-30T05:14:00Z</cp:lastPrinted>
  <dcterms:created xsi:type="dcterms:W3CDTF">2018-07-03T09:35:00Z</dcterms:created>
  <dcterms:modified xsi:type="dcterms:W3CDTF">2018-07-03T09:45:00Z</dcterms:modified>
</cp:coreProperties>
</file>